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62.png" ContentType="image/png"/>
  <Override PartName="/word/media/rId53.png" ContentType="image/png"/>
  <Override PartName="/word/media/rId58.png" ContentType="image/png"/>
  <Override PartName="/word/media/rId57.png" ContentType="image/png"/>
  <Override PartName="/word/media/rId61.png" ContentType="image/png"/>
  <Override PartName="/word/media/rId55.png" ContentType="image/png"/>
  <Override PartName="/word/media/rId63.png" ContentType="image/png"/>
  <Override PartName="/word/media/rId60.png" ContentType="image/png"/>
  <Override PartName="/word/media/rId59.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Jun 11 17:38:50 2018 -0700</w:t>
      </w:r>
    </w:p>
    <w:p>
      <w:pPr>
        <w:pStyle w:val="Heading1"/>
      </w:pPr>
      <w:bookmarkStart w:id="30" w:name="abstract"/>
      <w:r>
        <w:t xml:space="preserve">Abstract</w:t>
      </w:r>
      <w:bookmarkEnd w:id="30"/>
    </w:p>
    <w:p>
      <w:pPr>
        <w:pStyle w:val="FirstParagraph"/>
      </w:pPr>
      <w:r>
        <w:t xml:space="preserve">Some management goals may be impractical with limited resources, particularly in streams where large-scale changes on the landscape (e.g., urbanization) impose constraints on the upper limit of biological integrity. A statewide landscape model was developed that provides context for a macroinvertebrate-based bioasssessment index by predicting a range of expectations that are typical at a site for the observed level of landscape alteration. With this approach, sites can be described as over- or under-scoring relative to an expectatation that is determined by landscape constraints on biological condition. A regional application of the landscape model was used to classify sites and prioritize different management actions by a local stakeholder group of regulators, dischargers, stormwater agencies, and environmental advocates from the San Gabriel River watershed (Los Angeles County, California). Stakeholder decisions were facilitated with the Stream Classification and Priority Explorer (SCAPE) tool that compares observed bioassessment scores with expectations from the landscape model to rapidly identify reaches that are scoring better or worse than expected. Of the 71 sites in the watershed where bioassessment occurred, over half (58%) were found to be constrained by landscape, of which nine were assigned a medium priority for further investigation by the stakeholder group. Similarly, 30% of sites were unconstrained and assigned medium or high priorities for enhanced protection or restoration depending on whether a site was scoring better or worse than expected. A clear gradient from the upper to lower watershed was observed in land use that was consistent with the model predictions, where landscape constraints were more common in the heavily urbanized lower watershed. Interaction with the local stakeholder group was critical in connecting landscape models with observed data to help set management goals appropriate for the region. The availability of geospatial and bioassessment data at the national level suggests that these tools can easily be applied to inform management decisions at other locations where biological indices are used to assess environmental condition.</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require contextual information for synthesizing and interpreting biological information. The reference condition concept that is built into many biological indices is an explicit means of evaluating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in many cases the reference benchmark may not completely describe actual limits on biotic condition at spatial scales that can be effectively managed for biological health</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Landscape constraints in developed environments, such as modified urban streams, have led to alternative considerations on use attainability where reference conditions may be difficult or impractical to achieve given local conditions. Potential upper limits on biological health imposed by land use also have relevance for the application of bioassessment indices for biological criteria. A bioassessment index may be difficult to incorporate into regulatory statutes if thresholds for biological objectives are impractical within site-specific conditions. Managers require explicit information that can not only synthesize site level bioassessment data at the watershed scale, but also provide an assessment context that is sufficiently interpretable for prioritization.</w:t>
      </w:r>
    </w:p>
    <w:p>
      <w:pPr>
        <w:pStyle w:val="BodyText"/>
      </w:pPr>
      <w:r>
        <w:t xml:space="preserve">The application of bioassessment data to inform management requires understanding the effects of multiple stressors acting at local or catchment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estimated to be in poor condition as related to the most commonly observed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Mechanistic linkages between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Developing an expectation of biological potential as a function of land use constraints could help prioritize where management actions are most likely to achieve intended outcomes. Conventional approaches to restore or protect aquatic resources have commonly focused on direct improvements at the site-level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whereas upstream preventative measures have be incentivized or enforced through regulation. Although these approaches can lead to improvements in stream health, there is no universal remedy that applies to all stream types and conditions. For example, the required resources to restore a highly degraded stream in an urban or agricultural setting can be costly and it may be unreasonable to set regional reference conditions as a restoration target</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Understanding limits to biological potential is a fundamental concept in bioassessment that has recieved some attention. Methods for factor-ceiling analysis have been explored in bioassessment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will be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w:t>
      </w:r>
    </w:p>
    <w:p>
      <w:pPr>
        <w:pStyle w:val="BodyText"/>
      </w:pPr>
      <w:r>
        <w:t xml:space="preserve">An approach to comprehensively evaluate the potential for success of alternative management scenarios for streams under landscape constraints could be developed with predictive models that estimate limits on expectations. Previous efforts have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biological condition at unsampled reaches. 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associations of constraints with conditions could be used to predict a range of expectations for biotic integrity. This approach could build on previous applications of landscape models by predicting a lower and upper estimate of what bioassessment index scores are likely relative to the landscape, in addition to estimating biological condition at unsampled reaches. Once the predicted response of macroinvertebrate communities to landscape changes at large spatial scales are understood, expectations can be compared to field samples and sites can be prioritized by local managers based on deviation from the expectation. As such, the development of contextual tools for understanding biological condition across landscape gradients could provide a powerful approach to informing the use of limited resources to manage stream integrity.</w:t>
      </w:r>
    </w:p>
    <w:p>
      <w:pPr>
        <w:pStyle w:val="BodyText"/>
      </w:pPr>
      <w:r>
        <w:t xml:space="preserve">The goal of this study is to present the development of a landscape model to classify and prioritize stream monitoring sites and demonstrate its application to estimate constraints on biological integrity in California streams. This work builds on the knowledge and relationships developed through existing monitoring programs and applies that in a predictive manner across entire landscapes to inform management decisions. The specific objectives were to 1) demonstrate development of a landscape model to predict expected ranges of biotic condition, 2) classify stream reaches using modelling expectations, 3) assess the extent of stream classes and explore the sensitivity of the classifications to decision points in the model output, and 4) prioritize potential management decisions by comparing predicted ranges to observed bioassessment scores. The model was developed and applied to all stream reaches in California. A case study demonstrated how the statewide model can be used to classify and prioritize in a regional context using guidance from a local stakeholder group. An interactive software tool that was used by the stakeholder group to develop priority recommendations from the landscape model is also described.</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Plus (NHD-plus)</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NHD-plus is a surface water framework that maps drainage networks and associated features (e.g., streams, lakes, canals, etc.) in the United States. Stream flow lines in the NHD-plus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NHD-plus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(i.e., nearby landscape flowing directly into a stream segment) and the entire upstream watershed for each reach. The StreamCat Dataset was developed specifically for the NHD-plus to leverage the topology of stream connections to estimate cumulative landscape metrics of all reaches.</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 1.4, with values near 1 indicating an observed community similar to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Measures of land use development were quantified for riparian, catchment, and watershed areas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estimates of canal/ditch density, imperviousness, road density/crossings, and urban and agricultural land use for each stream reach (Table</w:t>
      </w:r>
      <w:r>
        <w:t xml:space="preserve"> </w:t>
      </w:r>
      <w:r>
        <w:t xml:space="preserve">1</w:t>
      </w:r>
      <w:r>
        <w:t xml:space="preserve">).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 Fox et al.</w:t>
      </w:r>
      <w:r>
        <w:t xml:space="preserve"> </w:t>
      </w:r>
      <w:hyperlink w:anchor="ref-Fox17">
        <w:r>
          <w:rPr>
            <w:rStyle w:val="Hyperlink"/>
          </w:rPr>
          <w:t xml:space="preserve">2017</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A diverse group of stakeholders from local municipalities, water districts, water quality regulatory agencies, consulting groups, and non-government organizations have shared interests in managing aquatic resources in the watershed.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management.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3</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(Table</w:t>
      </w:r>
      <w:r>
        <w:t xml:space="preserve"> </w:t>
      </w:r>
      <w:r>
        <w:t xml:space="preserve">2</w:t>
      </w:r>
      <w:r>
        <w:t xml:space="preserve">). This provided a definition that can be used to understand the observed score relative to the biological context of a reach. Sites with observed scores above the upper limit of the reach expectation (e.g., above the 90th percentile of expected scores) were considered over scoring and sites below the lower limit (e.g., 10th percentile)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3</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3</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any proposed development and/or projects;</w:t>
      </w:r>
    </w:p>
    <w:p>
      <w:pPr>
        <w:pStyle w:val="Compact"/>
        <w:numPr>
          <w:numId w:val="1001"/>
          <w:ilvl w:val="0"/>
        </w:numPr>
      </w:pPr>
      <w:r>
        <w:t xml:space="preserve">Restore: Targeted action for causal assessment and/or restoration activity.</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10th and 90th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reach was excluded from the NHD-plus dataset (typically, small headwater streams). The former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4</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agriculture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(11% of all stream length) or possibly unconstrained (46%), whereas a minority were likely constrained (4%) or likely unconstrained (39%) (Table</w:t>
      </w:r>
      <w:r>
        <w:t xml:space="preserve"> </w:t>
      </w:r>
      <w:r>
        <w:t xml:space="preserve">6</w:t>
      </w:r>
      <w:r>
        <w:t xml:space="preserve">). By region, the most reaches classified as likely unconstrained reaches were in the Sierra Nevad (50%), North Coast (46%), and Desert Modoc (46%) regions, whereas the most reaches as likely constrained were observed in the Central Valley (22%) and South Coast (15%) regions. Relative CSCI scores compared to reach expectations were as expected for 80% of the sampled locations statewide, whereas a much smaller percentage of sites were equally under or over scoring (Table</w:t>
      </w:r>
      <w:r>
        <w:t xml:space="preserve"> </w:t>
      </w:r>
      <w:r>
        <w:t xml:space="preserve">6</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all stream reaches in the lower watershed were classified as likely constrained. Several reaches in the lower watershed had ranges that were right-skewed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certain range of expected scores from the 10th to the 90th percentile of the model predictions, only six sites were under-scoring (two likely unconstrained and four likely constrained) and eight sites were over-scoring (five likely constrained, one possibly unconstrained, and two likely unconstrained). One of the under-scoring sites in the likely unconstrained class was below the hypothetical CSCI threshold. One site scoring as expected in the possibly unconstrained class was below the chosen CSCI threshold, whereas none of the constrained (possibly or likely) sites were above the threshold.</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lower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7</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managing biological impairments under state or federal water quality mandates. The landscape models could be used to evaluate the list of sites that are not meeting biological objectives by identifying locations where constraints may limit options for restoration.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landscape-constraints-can-be-described-using-biological-endpoints"/>
      <w:r>
        <w:t xml:space="preserve">Landscape constraints can be described using biological endpoints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An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Physical habitat can be extremely limited in engineered channels and our models identified many of these locations in our case study. However, these channels were identified as constrained based on land use only. Constrained channels not in urban landscapes were also identified by the model, as for many streams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 Landscape models could also be used to support conservation planning, particularly at the watershed scale.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by discussion among the stakeholders that represented different interests (i.e., regulators, dischargers, consultants,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such that the recommended actions were defined through iterative discussion by the group. This approach ensured that stakeholders were generally in agreement with the final product and, therefore,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FirstParagraph"/>
      </w:pPr>
      <w:r>
        <w:t xml:space="preserve">The primary objective of developing the landscape models was to provide a screening tool for exploring biological constraints to facilitate a discussion of management options relative to site contexts. These models are not intended for developing regulatory designations for individual sites, nor are they sufficient by themselves as a use attainability assessment at constrained sites. Specifically, the landscape model is associative by design and does not identify mechanistic links between biological constraints and proximal causes.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We have explicitly not incorporated channel modification as a predictive mechanism by which biological constraints may occur, although habitat limitations imposed by modification may impose real limits on biology. Alternatively, bioasessment scores can be similar in modified channels compared to natural streams independent of watershed land use</w:t>
      </w:r>
      <w:r>
        <w:t xml:space="preserve"> </w:t>
      </w:r>
      <w:r>
        <w:t xml:space="preserve">(Stein et al.</w:t>
      </w:r>
      <w:r>
        <w:t xml:space="preserve"> </w:t>
      </w:r>
      <w:hyperlink w:anchor="ref-Stein13">
        <w:r>
          <w:rPr>
            <w:rStyle w:val="Hyperlink"/>
          </w:rPr>
          <w:t xml:space="preserve">2013</w:t>
        </w:r>
      </w:hyperlink>
      <w:r>
        <w:t xml:space="preserve">)</w:t>
      </w:r>
      <w:r>
        <w:t xml:space="preserve">. The landscape model describes constraints at scales larger than instream characteristics as a necessary approach to accurately predict bioassessment scores. More comprehensive assessments at individual sites are needed to diagnose the immediate causes of degraded condition.</w:t>
      </w:r>
    </w:p>
    <w:p>
      <w:pPr>
        <w:pStyle w:val="BodyText"/>
      </w:pPr>
      <w:r>
        <w:t xml:space="preserve">An additional consideration in applying the model to inform management decisions is the meaning of biologically constrained in the context of macroinvertebrate communities. Biologically constrained sites were considered those where landscapes were likely to limit the bioassessment index. The CSCI provides an indication of stream health by estimating the macroinvertebrate community that is likely to be present under factors that naturally influence biology for the region and comparing the observed community to the estimate. A constrained site as estimated by the landscape model is only constrained relative to the macroinvertebrate community. In many cases, poor biotic condition of the macroinvertebrate community translates to poor stream condition. However, a constrained macroinvertebrate community does not always mean other aspects diagnostic of stream health are also constrained. Many urban streams can support diverse algal assemblages such that algal-based measures of biotic condition may alternatively suggest good biotic condition relative to macroinvertebrate-based indices. This limitation of the landscape model is not unique to other bioassessment tools and application to other taxa as alternatives lines of evidence is needed for a more complete condition assessment.</w:t>
      </w:r>
    </w:p>
    <w:p>
      <w:pPr>
        <w:pStyle w:val="Heading2"/>
      </w:pPr>
      <w:bookmarkStart w:id="48" w:name="additional-applications-of-the-landscape-model"/>
      <w:r>
        <w:t xml:space="preserve">Additional applications of the landscape model</w:t>
      </w:r>
      <w:bookmarkEnd w:id="48"/>
    </w:p>
    <w:p>
      <w:pPr>
        <w:pStyle w:val="FirstParagraph"/>
      </w:pPr>
      <w:r>
        <w:t xml:space="preserve">This work has immediate relevance for informing use of bioassessment indices in freshwater streams of California, both from the perspective of identifying management priorities and for developing an interpretation of broad scale factors that limit ecological integrity. Our use of geospatial datasets that are descriptive at the national scale suggests that these methods could be applied elsewhere and in unique bioassessment contexts. The NHD-plus and StreamCat datasets cover the entire hydrologic network of the conterminous United States and national-scale bioassessment tools are available through the National Rivers and Streams Assessment</w:t>
      </w:r>
      <w:r>
        <w:t xml:space="preserve"> </w:t>
      </w:r>
      <w:r>
        <w:t xml:space="preserve">(USEPA (US Environmental Protection Agency)</w:t>
      </w:r>
      <w:r>
        <w:t xml:space="preserve"> </w:t>
      </w:r>
      <w:hyperlink w:anchor="ref-USEPA16">
        <w:r>
          <w:rPr>
            <w:rStyle w:val="Hyperlink"/>
          </w:rPr>
          <w:t xml:space="preserve">2016</w:t>
        </w:r>
      </w:hyperlink>
      <w:r>
        <w:t xml:space="preserve">; Hill et al.</w:t>
      </w:r>
      <w:r>
        <w:t xml:space="preserve"> </w:t>
      </w:r>
      <w:hyperlink w:anchor="ref-Hill17">
        <w:r>
          <w:rPr>
            <w:rStyle w:val="Hyperlink"/>
          </w:rPr>
          <w:t xml:space="preserve">2017</w:t>
        </w:r>
      </w:hyperlink>
      <w:r>
        <w:t xml:space="preserve">)</w:t>
      </w:r>
      <w:r>
        <w:t xml:space="preserve">. Statewide extension of the landscape model could be explored to develop a national scale product of constraints on biological condition. Although landscape stressors are ubiquituous at the contintental scale, extention of the landscape models beyond California should consider regional variation in landscape stressors that are predictive of biotic condition. Urban and agricultural gradients were sufficient to characterize constraints in many regions of California, whereas the model did not perform well in regions where thes gradients did not occur. A national level landscape model must consider alternative predictors provided by the StreamCat model that are sufficient to model biological condition.</w:t>
      </w:r>
    </w:p>
    <w:p>
      <w:pPr>
        <w:pStyle w:val="Heading2"/>
      </w:pPr>
      <w:bookmarkStart w:id="49" w:name="summary"/>
      <w:r>
        <w:t xml:space="preserve">Summary</w:t>
      </w:r>
      <w:bookmarkEnd w:id="49"/>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prescription for causes of impairment, nor does it discount sites from management intervention if constraints are high. The landscape model can inform the interpretation of biotic condition and is an exploratory tool that can help identify where management goals are most likely to be achieved.</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51">
        <w:r>
          <w:rPr>
            <w:rStyle w:val="Hyperlink"/>
          </w:rPr>
          <w:t xml:space="preserve">http://shiny.sccwrp.org/scape/</w:t>
        </w:r>
      </w:hyperlink>
    </w:p>
    <w:p>
      <w:pPr>
        <w:pStyle w:val="Heading1"/>
      </w:pPr>
      <w:bookmarkStart w:id="52" w:name="figures"/>
      <w:r>
        <w:t xml:space="preserve">Figures</w:t>
      </w:r>
      <w:bookmarkEnd w:id="52"/>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6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3)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6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3</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4" w:name="tables"/>
      <w:r>
        <w:t xml:space="preserve">Tables</w:t>
      </w:r>
      <w:bookmarkEnd w:id="64"/>
    </w:p>
    <w:p>
      <w:pPr>
        <w:pStyle w:val="TableCaption"/>
      </w:pPr>
      <w:r>
        <w:t xml:space="preserve">Table 1 Land use variables used to develop landscape models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The measurement scale for each variable is at the catchment, watershed, and/or riparian scale (100 m buffer) relative to a stream reach. Total urban and agriculture land use variables were based on sums of indvidual variables in StreamCat as noted in the desciption.</w:t>
      </w:r>
    </w:p>
    <w:tbl>
      <w:tblPr>
        <w:tblStyle w:val="Table"/>
        <w:tblW w:type="pct" w:w="0.0"/>
        <w:tblLook w:firstRow="1"/>
        <w:tblCaption w:val="Table 1 Land use variables used to develop landscape models of stream bioassessment scores. All variables were obtained from StreamCat (Hill et al. 2016). The measurement scale for each variable is at the catchment, watershed, and/or riparian scale (100 m buffer) relative to a stream reach. Total urban and agriculture land use variables were based on sums of indvidual variables in StreamCat as noted in the desciption."/>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CanalDensCat</w:t>
            </w:r>
          </w:p>
        </w:tc>
        <w:tc>
          <w:p>
            <w:pPr>
              <w:pStyle w:val="Compact"/>
              <w:jc w:val="left"/>
            </w:pPr>
            <w:r>
              <w:t xml:space="preserve">catchment</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CanalDensWs</w:t>
            </w:r>
          </w:p>
        </w:tc>
        <w:tc>
          <w:p>
            <w:pPr>
              <w:pStyle w:val="Compact"/>
              <w:jc w:val="left"/>
            </w:pPr>
            <w:r>
              <w:t xml:space="preserve">watershed</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PctImp2006Cat</w:t>
            </w:r>
          </w:p>
        </w:tc>
        <w:tc>
          <w:p>
            <w:pPr>
              <w:pStyle w:val="Compact"/>
              <w:jc w:val="left"/>
            </w:pPr>
            <w:r>
              <w:t xml:space="preserve">catchment</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PctImp2006Ws</w:t>
            </w:r>
          </w:p>
        </w:tc>
        <w:tc>
          <w:p>
            <w:pPr>
              <w:pStyle w:val="Compact"/>
              <w:jc w:val="left"/>
            </w:pPr>
            <w:r>
              <w:t xml:space="preserve">watershed</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PctImp2006CatRp100</w:t>
            </w:r>
          </w:p>
        </w:tc>
        <w:tc>
          <w:p>
            <w:pPr>
              <w:pStyle w:val="Compact"/>
              <w:jc w:val="left"/>
            </w:pPr>
            <w:r>
              <w:t xml:space="preserve">catchment, riparian</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PctImp2006WsRp100</w:t>
            </w:r>
          </w:p>
        </w:tc>
        <w:tc>
          <w:p>
            <w:pPr>
              <w:pStyle w:val="Compact"/>
              <w:jc w:val="left"/>
            </w:pPr>
            <w:r>
              <w:t xml:space="preserve">watershed, riparian</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TotUrb2011Ws</w:t>
            </w:r>
          </w:p>
        </w:tc>
        <w:tc>
          <w:p>
            <w:pPr>
              <w:pStyle w:val="Compact"/>
              <w:jc w:val="left"/>
            </w:pPr>
            <w:r>
              <w:t xml:space="preserve">watershed</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TotUrb2011Cat</w:t>
            </w:r>
          </w:p>
        </w:tc>
        <w:tc>
          <w:p>
            <w:pPr>
              <w:pStyle w:val="Compact"/>
              <w:jc w:val="left"/>
            </w:pPr>
            <w:r>
              <w:t xml:space="preserve">catchment</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TotUrb2011WsRp100</w:t>
            </w:r>
          </w:p>
        </w:tc>
        <w:tc>
          <w:p>
            <w:pPr>
              <w:pStyle w:val="Compact"/>
              <w:jc w:val="left"/>
            </w:pPr>
            <w:r>
              <w:t xml:space="preserve">watershed, riparian</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TotUrb2011CatRp100</w:t>
            </w:r>
          </w:p>
        </w:tc>
        <w:tc>
          <w:p>
            <w:pPr>
              <w:pStyle w:val="Compact"/>
              <w:jc w:val="left"/>
            </w:pPr>
            <w:r>
              <w:t xml:space="preserve">catchment, riparian</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TotAg2011Ws</w:t>
            </w:r>
          </w:p>
        </w:tc>
        <w:tc>
          <w:p>
            <w:pPr>
              <w:pStyle w:val="Compact"/>
              <w:jc w:val="left"/>
            </w:pPr>
            <w:r>
              <w:t xml:space="preserve">watershed</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TotAg2011Cat</w:t>
            </w:r>
          </w:p>
        </w:tc>
        <w:tc>
          <w:p>
            <w:pPr>
              <w:pStyle w:val="Compact"/>
              <w:jc w:val="left"/>
            </w:pPr>
            <w:r>
              <w:t xml:space="preserve">catchment</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TotAg2011WsRp100</w:t>
            </w:r>
          </w:p>
        </w:tc>
        <w:tc>
          <w:p>
            <w:pPr>
              <w:pStyle w:val="Compact"/>
              <w:jc w:val="left"/>
            </w:pPr>
            <w:r>
              <w:t xml:space="preserve">watershed, riparian</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TotAg2011CatRp100</w:t>
            </w:r>
          </w:p>
        </w:tc>
        <w:tc>
          <w:p>
            <w:pPr>
              <w:pStyle w:val="Compact"/>
              <w:jc w:val="left"/>
            </w:pPr>
            <w:r>
              <w:t xml:space="preserve">catchment, riparian</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RdDensCat</w:t>
            </w:r>
          </w:p>
        </w:tc>
        <w:tc>
          <w:p>
            <w:pPr>
              <w:pStyle w:val="Compact"/>
              <w:jc w:val="left"/>
            </w:pPr>
            <w:r>
              <w:t xml:space="preserve">catchment</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RdDensWs</w:t>
            </w:r>
          </w:p>
        </w:tc>
        <w:tc>
          <w:p>
            <w:pPr>
              <w:pStyle w:val="Compact"/>
              <w:jc w:val="left"/>
            </w:pPr>
            <w:r>
              <w:t xml:space="preserve">watershed</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RdDensCatRp100</w:t>
            </w:r>
          </w:p>
        </w:tc>
        <w:tc>
          <w:p>
            <w:pPr>
              <w:pStyle w:val="Compact"/>
              <w:jc w:val="left"/>
            </w:pPr>
            <w:r>
              <w:t xml:space="preserve">catchment, riparian</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RdDensWsRp100</w:t>
            </w:r>
          </w:p>
        </w:tc>
        <w:tc>
          <w:p>
            <w:pPr>
              <w:pStyle w:val="Compact"/>
              <w:jc w:val="left"/>
            </w:pPr>
            <w:r>
              <w:t xml:space="preserve">watershed, riparian</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RdCrsCat</w:t>
            </w:r>
          </w:p>
        </w:tc>
        <w:tc>
          <w:p>
            <w:pPr>
              <w:pStyle w:val="Compact"/>
              <w:jc w:val="left"/>
            </w:pPr>
            <w:r>
              <w:t xml:space="preserve">catchment</w:t>
            </w:r>
          </w:p>
        </w:tc>
        <w:tc>
          <w:p>
            <w:pPr>
              <w:pStyle w:val="Compact"/>
              <w:jc w:val="left"/>
            </w:pPr>
            <w:r>
              <w:t xml:space="preserve">Density of roads-stream intersections (2010 Census Tiger Lines-NHD stream lines)</w:t>
            </w:r>
          </w:p>
        </w:tc>
        <w:tc>
          <w:p>
            <w:pPr>
              <w:pStyle w:val="Compact"/>
              <w:jc w:val="left"/>
            </w:pPr>
            <w:r>
              <w:t xml:space="preserve">crossings/sq km</w:t>
            </w:r>
          </w:p>
        </w:tc>
      </w:tr>
      <w:tr>
        <w:tc>
          <w:p>
            <w:pPr>
              <w:pStyle w:val="Compact"/>
              <w:jc w:val="left"/>
            </w:pPr>
            <w:r>
              <w:t xml:space="preserve">RdCrsWs</w:t>
            </w:r>
          </w:p>
        </w:tc>
        <w:tc>
          <w:p>
            <w:pPr>
              <w:pStyle w:val="Compact"/>
              <w:jc w:val="left"/>
            </w:pPr>
            <w:r>
              <w:t xml:space="preserve">watershed</w:t>
            </w:r>
          </w:p>
        </w:tc>
        <w:tc>
          <w:p>
            <w:pPr>
              <w:pStyle w:val="Compact"/>
              <w:jc w:val="left"/>
            </w:pPr>
            <w:r>
              <w:t xml:space="preserve">Density of roads-stream intersections (2010 Census Tiger Lines-NHD stream lines)</w:t>
            </w:r>
          </w:p>
        </w:tc>
        <w:tc>
          <w:p>
            <w:pPr>
              <w:pStyle w:val="Compact"/>
              <w:jc w:val="left"/>
            </w:pPr>
            <w:r>
              <w:t xml:space="preserve">crosssings/sq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Median prediction is above threshold</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Median prediction is below threshold</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Possible site types based on stream reach classification, relative site score, and observed CSCI score. The observed score column describes where a CSCI score is observed relative to the lower and upper percentiles (e.g., 10th and 90th) of expected scores for a reach and the chosen CSCI threshold (e.g., 10th percentile of scores at reference sites or 0.79) for nominally low or high values.</w:t>
      </w:r>
    </w:p>
    <w:tbl>
      <w:tblPr>
        <w:tblStyle w:val="Table"/>
        <w:tblW w:type="pct" w:w="0.0"/>
        <w:tblLook w:firstRow="1"/>
        <w:tblCaption w:val="Table 3 Possible site types based on stream reach classification, relative site score, and observed CSCI score. The observed score column describes where a CSCI score is observed relative to the lower and upper percentiles (e.g., 10th and 90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4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4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w:t>
            </w:r>
          </w:p>
        </w:tc>
        <w:tc>
          <w:p>
            <w:pPr>
              <w:pStyle w:val="Compact"/>
              <w:jc w:val="right"/>
            </w:pPr>
            <w:r>
              <w:t xml:space="preserve">0.75</w:t>
            </w:r>
          </w:p>
        </w:tc>
        <w:tc>
          <w:p>
            <w:pPr>
              <w:pStyle w:val="Compact"/>
              <w:jc w:val="right"/>
            </w:pPr>
            <w:r>
              <w:t xml:space="preserve">0.17</w:t>
            </w:r>
          </w:p>
        </w:tc>
        <w:tc>
          <w:p>
            <w:pPr>
              <w:pStyle w:val="Compact"/>
              <w:jc w:val="right"/>
            </w:pPr>
            <w:r>
              <w:t xml:space="preserve">0.34</w:t>
            </w:r>
          </w:p>
        </w:tc>
        <w:tc>
          <w:p>
            <w:pPr>
              <w:pStyle w:val="Compact"/>
              <w:jc w:val="righ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right"/>
            </w:pPr>
            <w:r>
              <w:t xml:space="preserve">0.71</w:t>
            </w:r>
          </w:p>
        </w:tc>
        <w:tc>
          <w:p>
            <w:pPr>
              <w:pStyle w:val="Compact"/>
              <w:jc w:val="right"/>
            </w:pPr>
            <w:r>
              <w:t xml:space="preserve">0.19</w:t>
            </w:r>
          </w:p>
        </w:tc>
        <w:tc>
          <w:p>
            <w:pPr>
              <w:pStyle w:val="Compact"/>
              <w:jc w:val="right"/>
            </w:pPr>
            <w:r>
              <w:t xml:space="preserve">0.38</w:t>
            </w:r>
          </w:p>
        </w:tc>
        <w:tc>
          <w:p>
            <w:pPr>
              <w:pStyle w:val="Compact"/>
              <w:jc w:val="righ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right"/>
            </w:pPr>
            <w:r>
              <w:t xml:space="preserve">0.66</w:t>
            </w:r>
          </w:p>
        </w:tc>
        <w:tc>
          <w:p>
            <w:pPr>
              <w:pStyle w:val="Compact"/>
              <w:jc w:val="right"/>
            </w:pPr>
            <w:r>
              <w:t xml:space="preserve">0.15</w:t>
            </w:r>
          </w:p>
        </w:tc>
        <w:tc>
          <w:p>
            <w:pPr>
              <w:pStyle w:val="Compact"/>
              <w:jc w:val="right"/>
            </w:pPr>
            <w:r>
              <w:t xml:space="preserve">0.29</w:t>
            </w:r>
          </w:p>
        </w:tc>
        <w:tc>
          <w:p>
            <w:pPr>
              <w:pStyle w:val="Compact"/>
              <w:jc w:val="righ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right"/>
            </w:pPr>
            <w:r>
              <w:t xml:space="preserve">0.50</w:t>
            </w:r>
          </w:p>
        </w:tc>
        <w:tc>
          <w:p>
            <w:pPr>
              <w:pStyle w:val="Compact"/>
              <w:jc w:val="right"/>
            </w:pPr>
            <w:r>
              <w:t xml:space="preserve">0.20</w:t>
            </w:r>
          </w:p>
        </w:tc>
        <w:tc>
          <w:p>
            <w:pPr>
              <w:pStyle w:val="Compact"/>
              <w:jc w:val="right"/>
            </w:pPr>
            <w:r>
              <w:t xml:space="preserve">0.63</w:t>
            </w:r>
          </w:p>
        </w:tc>
        <w:tc>
          <w:p>
            <w:pPr>
              <w:pStyle w:val="Compact"/>
              <w:jc w:val="righ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0.94 (0.13)</w:t>
            </w:r>
          </w:p>
        </w:tc>
        <w:tc>
          <w:p>
            <w:pPr>
              <w:pStyle w:val="Compact"/>
              <w:jc w:val="right"/>
            </w:pPr>
            <w:r>
              <w:t xml:space="preserve">0.55</w:t>
            </w:r>
          </w:p>
        </w:tc>
        <w:tc>
          <w:p>
            <w:pPr>
              <w:pStyle w:val="Compact"/>
              <w:jc w:val="right"/>
            </w:pPr>
            <w:r>
              <w:t xml:space="preserve">0.17</w:t>
            </w:r>
          </w:p>
        </w:tc>
        <w:tc>
          <w:p>
            <w:pPr>
              <w:pStyle w:val="Compact"/>
              <w:jc w:val="right"/>
            </w:pPr>
            <w:r>
              <w:t xml:space="preserve">0.61</w:t>
            </w:r>
          </w:p>
        </w:tc>
        <w:tc>
          <w:p>
            <w:pPr>
              <w:pStyle w:val="Compact"/>
              <w:jc w:val="righ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right"/>
            </w:pPr>
            <w:r>
              <w:t xml:space="preserve">0.75</w:t>
            </w:r>
          </w:p>
        </w:tc>
        <w:tc>
          <w:p>
            <w:pPr>
              <w:pStyle w:val="Compact"/>
              <w:jc w:val="right"/>
            </w:pPr>
            <w:r>
              <w:t xml:space="preserve">0.16</w:t>
            </w:r>
          </w:p>
        </w:tc>
        <w:tc>
          <w:p>
            <w:pPr>
              <w:pStyle w:val="Compact"/>
              <w:jc w:val="right"/>
            </w:pPr>
            <w:r>
              <w:t xml:space="preserve">0.27</w:t>
            </w:r>
          </w:p>
        </w:tc>
        <w:tc>
          <w:p>
            <w:pPr>
              <w:pStyle w:val="Compact"/>
              <w:jc w:val="righ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right"/>
            </w:pPr>
            <w:r>
              <w:t xml:space="preserve">0.45</w:t>
            </w:r>
          </w:p>
        </w:tc>
        <w:tc>
          <w:p>
            <w:pPr>
              <w:pStyle w:val="Compact"/>
              <w:jc w:val="right"/>
            </w:pPr>
            <w:r>
              <w:t xml:space="preserve">0.16</w:t>
            </w:r>
          </w:p>
        </w:tc>
        <w:tc>
          <w:p>
            <w:pPr>
              <w:pStyle w:val="Compact"/>
              <w:jc w:val="right"/>
            </w:pPr>
            <w:r>
              <w:t xml:space="preserve">0.75</w:t>
            </w:r>
          </w:p>
        </w:tc>
        <w:tc>
          <w:p>
            <w:pPr>
              <w:pStyle w:val="Compact"/>
              <w:jc w:val="righ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right"/>
            </w:pPr>
            <w:r>
              <w:t xml:space="preserve">0.74</w:t>
            </w:r>
          </w:p>
        </w:tc>
        <w:tc>
          <w:p>
            <w:pPr>
              <w:pStyle w:val="Compact"/>
              <w:jc w:val="right"/>
            </w:pPr>
            <w:r>
              <w:t xml:space="preserve">0.19</w:t>
            </w:r>
          </w:p>
        </w:tc>
        <w:tc>
          <w:p>
            <w:pPr>
              <w:pStyle w:val="Compact"/>
              <w:jc w:val="right"/>
            </w:pPr>
            <w:r>
              <w:t xml:space="preserve">0.39</w:t>
            </w:r>
          </w:p>
        </w:tc>
        <w:tc>
          <w:p>
            <w:pPr>
              <w:pStyle w:val="Compact"/>
              <w:jc w:val="righ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right"/>
            </w:pPr>
            <w:r>
              <w:t xml:space="preserve">0.49</w:t>
            </w:r>
          </w:p>
        </w:tc>
        <w:tc>
          <w:p>
            <w:pPr>
              <w:pStyle w:val="Compact"/>
              <w:jc w:val="right"/>
            </w:pPr>
            <w:r>
              <w:t xml:space="preserve">0.19</w:t>
            </w:r>
          </w:p>
        </w:tc>
        <w:tc>
          <w:p>
            <w:pPr>
              <w:pStyle w:val="Compact"/>
              <w:jc w:val="right"/>
            </w:pPr>
            <w:r>
              <w:t xml:space="preserve">0.38</w:t>
            </w:r>
          </w:p>
        </w:tc>
        <w:tc>
          <w:p>
            <w:pPr>
              <w:pStyle w:val="Compact"/>
              <w:jc w:val="righ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right"/>
            </w:pPr>
            <w:r>
              <w:t xml:space="preserve">0.55</w:t>
            </w:r>
          </w:p>
        </w:tc>
        <w:tc>
          <w:p>
            <w:pPr>
              <w:pStyle w:val="Compact"/>
              <w:jc w:val="right"/>
            </w:pPr>
            <w:r>
              <w:t xml:space="preserve">0.17</w:t>
            </w:r>
          </w:p>
        </w:tc>
        <w:tc>
          <w:p>
            <w:pPr>
              <w:pStyle w:val="Compact"/>
              <w:jc w:val="right"/>
            </w:pPr>
            <w:r>
              <w:t xml:space="preserve">0.63</w:t>
            </w:r>
          </w:p>
        </w:tc>
        <w:tc>
          <w:p>
            <w:pPr>
              <w:pStyle w:val="Compact"/>
              <w:jc w:val="righ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0.72</w:t>
            </w:r>
          </w:p>
        </w:tc>
        <w:tc>
          <w:p>
            <w:pPr>
              <w:pStyle w:val="Compact"/>
              <w:jc w:val="right"/>
            </w:pPr>
            <w:r>
              <w:t xml:space="preserve">0.17</w:t>
            </w:r>
          </w:p>
        </w:tc>
        <w:tc>
          <w:p>
            <w:pPr>
              <w:pStyle w:val="Compact"/>
              <w:jc w:val="right"/>
            </w:pPr>
            <w:r>
              <w:t xml:space="preserve">0.27</w:t>
            </w:r>
          </w:p>
        </w:tc>
        <w:tc>
          <w:p>
            <w:pPr>
              <w:pStyle w:val="Compact"/>
              <w:jc w:val="righ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0.21</w:t>
            </w:r>
          </w:p>
        </w:tc>
        <w:tc>
          <w:p>
            <w:pPr>
              <w:pStyle w:val="Compact"/>
              <w:jc w:val="right"/>
            </w:pPr>
            <w:r>
              <w:t xml:space="preserve">0.17</w:t>
            </w:r>
          </w:p>
        </w:tc>
        <w:tc>
          <w:p>
            <w:pPr>
              <w:pStyle w:val="Compact"/>
              <w:jc w:val="right"/>
            </w:pPr>
            <w:r>
              <w:t xml:space="preserve">0.88</w:t>
            </w:r>
          </w:p>
        </w:tc>
        <w:tc>
          <w:p>
            <w:pPr>
              <w:pStyle w:val="Compact"/>
              <w:jc w:val="right"/>
            </w:pPr>
            <w:r>
              <w:t xml:space="preserve">0.11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168"/>
        <w:gridCol w:w="1425"/>
        <w:gridCol w:w="1301"/>
        <w:gridCol w:w="1594"/>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TableCaption"/>
      </w:pPr>
      <w:r>
        <w:t xml:space="preserve">Table 7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7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5" w:name="references"/>
      <w:r>
        <w:t xml:space="preserve">References</w:t>
      </w:r>
      <w:bookmarkEnd w:id="65"/>
    </w:p>
    <w:bookmarkStart w:id="147" w:name="refs"/>
    <w:bookmarkStart w:id="67"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6">
        <w:r>
          <w:rPr>
            <w:rStyle w:val="Hyperlink"/>
          </w:rPr>
          <w:t xml:space="preserve">https://doi.org/10.1046/j.1365-2427.1997.d01-546.x</w:t>
        </w:r>
      </w:hyperlink>
      <w:r>
        <w:t xml:space="preserve">.</w:t>
      </w:r>
    </w:p>
    <w:bookmarkEnd w:id="67"/>
    <w:bookmarkStart w:id="69"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8">
        <w:r>
          <w:rPr>
            <w:rStyle w:val="Hyperlink"/>
          </w:rPr>
          <w:t xml:space="preserve">https://doi.org/10.1146/annurev.ecolsys.35.120202.110122</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2"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1">
        <w:r>
          <w:rPr>
            <w:rStyle w:val="Hyperlink"/>
          </w:rPr>
          <w:t xml:space="preserve">https://doi.org/10.1016/j.landurbplan.2012.07.009</w:t>
        </w:r>
      </w:hyperlink>
      <w:r>
        <w:t xml:space="preserve">.</w:t>
      </w:r>
    </w:p>
    <w:bookmarkEnd w:id="72"/>
    <w:bookmarkStart w:id="73"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3"/>
    <w:bookmarkStart w:id="75"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4">
        <w:r>
          <w:rPr>
            <w:rStyle w:val="Hyperlink"/>
          </w:rPr>
          <w:t xml:space="preserve">https://doi.org/10.1111/j.1526-100X.2007.00285.x</w:t>
        </w:r>
      </w:hyperlink>
      <w:r>
        <w:t xml:space="preserve">.</w:t>
      </w:r>
    </w:p>
    <w:bookmarkEnd w:id="75"/>
    <w:bookmarkStart w:id="77"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6">
        <w:r>
          <w:rPr>
            <w:rStyle w:val="Hyperlink"/>
          </w:rPr>
          <w:t xml:space="preserve">https://doi.org/10.1007/s10661-008-0256-z</w:t>
        </w:r>
      </w:hyperlink>
      <w:r>
        <w:t xml:space="preserve">.</w:t>
      </w:r>
    </w:p>
    <w:bookmarkEnd w:id="77"/>
    <w:bookmarkStart w:id="79"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8">
        <w:r>
          <w:rPr>
            <w:rStyle w:val="Hyperlink"/>
          </w:rPr>
          <w:t xml:space="preserve">https://doi.org/10.1016/j.ecolind.2013.07.006</w:t>
        </w:r>
      </w:hyperlink>
      <w:r>
        <w:t xml:space="preserve">.</w:t>
      </w:r>
    </w:p>
    <w:bookmarkEnd w:id="79"/>
    <w:bookmarkStart w:id="81"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0">
        <w:r>
          <w:rPr>
            <w:rStyle w:val="Hyperlink"/>
          </w:rPr>
          <w:t xml:space="preserve">https://doi.org/10.1086/678701</w:t>
        </w:r>
      </w:hyperlink>
      <w:r>
        <w:t xml:space="preserve">.</w:t>
      </w:r>
    </w:p>
    <w:bookmarkEnd w:id="81"/>
    <w:bookmarkStart w:id="83"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82">
        <w:r>
          <w:rPr>
            <w:rStyle w:val="Hyperlink"/>
          </w:rPr>
          <w:t xml:space="preserve">https://doi.org/10.1002/rra.1053</w:t>
        </w:r>
      </w:hyperlink>
      <w:r>
        <w:t xml:space="preserve">.</w:t>
      </w:r>
    </w:p>
    <w:bookmarkEnd w:id="83"/>
    <w:bookmarkStart w:id="85"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84">
        <w:r>
          <w:rPr>
            <w:rStyle w:val="Hyperlink"/>
          </w:rPr>
          <w:t xml:space="preserve">https://doi.org/10.1899/0887-3593(2004)023%3C0599:BWRSUO%3E2.0.CO;2</w:t>
        </w:r>
      </w:hyperlink>
      <w:r>
        <w:t xml:space="preserve">.</w:t>
      </w:r>
    </w:p>
    <w:bookmarkEnd w:id="85"/>
    <w:bookmarkStart w:id="87"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86">
        <w:r>
          <w:rPr>
            <w:rStyle w:val="Hyperlink"/>
          </w:rPr>
          <w:t xml:space="preserve">https://doi.org/10.1111/j.1365-2427.2011.02696.x</w:t>
        </w:r>
      </w:hyperlink>
      <w:r>
        <w:t xml:space="preserve">.</w:t>
      </w:r>
    </w:p>
    <w:bookmarkEnd w:id="87"/>
    <w:bookmarkStart w:id="89"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88">
        <w:r>
          <w:rPr>
            <w:rStyle w:val="Hyperlink"/>
          </w:rPr>
          <w:t xml:space="preserve">https://doi.org/10.1002/etc.2059</w:t>
        </w:r>
      </w:hyperlink>
      <w:r>
        <w:t xml:space="preserve">.</w:t>
      </w:r>
    </w:p>
    <w:bookmarkEnd w:id="89"/>
    <w:bookmarkStart w:id="91"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90">
        <w:r>
          <w:rPr>
            <w:rStyle w:val="Hyperlink"/>
          </w:rPr>
          <w:t xml:space="preserve">https://doi.org/10.1111/j.1752-1688.2000.tb05717.x</w:t>
        </w:r>
      </w:hyperlink>
      <w:r>
        <w:t xml:space="preserve">.</w:t>
      </w:r>
    </w:p>
    <w:bookmarkEnd w:id="91"/>
    <w:bookmarkStart w:id="93"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92">
        <w:r>
          <w:rPr>
            <w:rStyle w:val="Hyperlink"/>
          </w:rPr>
          <w:t xml:space="preserve">https://doi.org/10.1007/s10661-017-6025-0</w:t>
        </w:r>
      </w:hyperlink>
      <w:r>
        <w:t xml:space="preserve">.</w:t>
      </w:r>
    </w:p>
    <w:bookmarkEnd w:id="93"/>
    <w:bookmarkStart w:id="94"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94"/>
    <w:bookmarkStart w:id="96"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95">
        <w:r>
          <w:rPr>
            <w:rStyle w:val="Hyperlink"/>
          </w:rPr>
          <w:t xml:space="preserve">https://doi.org/10.1002/eap.1617</w:t>
        </w:r>
      </w:hyperlink>
      <w:r>
        <w:t xml:space="preserve">.</w:t>
      </w:r>
    </w:p>
    <w:bookmarkEnd w:id="96"/>
    <w:bookmarkStart w:id="98"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97">
        <w:r>
          <w:rPr>
            <w:rStyle w:val="Hyperlink"/>
          </w:rPr>
          <w:t xml:space="preserve">https://doi.org/10.1111/1752-1688.12372</w:t>
        </w:r>
      </w:hyperlink>
      <w:r>
        <w:t xml:space="preserve">.</w:t>
      </w:r>
    </w:p>
    <w:bookmarkEnd w:id="98"/>
    <w:bookmarkStart w:id="100"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99">
        <w:r>
          <w:rPr>
            <w:rStyle w:val="Hyperlink"/>
          </w:rPr>
          <w:t xml:space="preserve">https://doi.org/10.1086/697996</w:t>
        </w:r>
      </w:hyperlink>
      <w:r>
        <w:t xml:space="preserve">.</w:t>
      </w:r>
    </w:p>
    <w:bookmarkEnd w:id="100"/>
    <w:bookmarkStart w:id="102"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01">
        <w:r>
          <w:rPr>
            <w:rStyle w:val="Hyperlink"/>
          </w:rPr>
          <w:t xml:space="preserve">https://doi.org/10.1371/journal.pone.0130710</w:t>
        </w:r>
      </w:hyperlink>
      <w:r>
        <w:t xml:space="preserve">.</w:t>
      </w:r>
    </w:p>
    <w:bookmarkEnd w:id="102"/>
    <w:bookmarkStart w:id="103"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03"/>
    <w:bookmarkStart w:id="105"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04">
        <w:r>
          <w:rPr>
            <w:rStyle w:val="Hyperlink"/>
          </w:rPr>
          <w:t xml:space="preserve">https://doi.org/10.1111/j.1752-1688.2011.00635.x</w:t>
        </w:r>
      </w:hyperlink>
      <w:r>
        <w:t xml:space="preserve">.</w:t>
      </w:r>
    </w:p>
    <w:bookmarkEnd w:id="105"/>
    <w:bookmarkStart w:id="107"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06">
        <w:r>
          <w:rPr>
            <w:rStyle w:val="Hyperlink"/>
          </w:rPr>
          <w:t xml:space="preserve">https://doi.org/10.1016/j.scitotenv.2015.07.083</w:t>
        </w:r>
      </w:hyperlink>
      <w:r>
        <w:t xml:space="preserve">.</w:t>
      </w:r>
    </w:p>
    <w:bookmarkEnd w:id="107"/>
    <w:bookmarkStart w:id="109"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08">
        <w:r>
          <w:rPr>
            <w:rStyle w:val="Hyperlink"/>
          </w:rPr>
          <w:t xml:space="preserve">https://doi.org/10.1007%2Fs00267-008-9151-1</w:t>
        </w:r>
      </w:hyperlink>
      <w:r>
        <w:t xml:space="preserve">.</w:t>
      </w:r>
    </w:p>
    <w:bookmarkEnd w:id="109"/>
    <w:bookmarkStart w:id="110"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110"/>
    <w:bookmarkStart w:id="112"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11">
        <w:r>
          <w:rPr>
            <w:rStyle w:val="Hyperlink"/>
          </w:rPr>
          <w:t xml:space="preserve">https://doi.org/10.1007/s10661-014-4086-x</w:t>
        </w:r>
      </w:hyperlink>
      <w:r>
        <w:t xml:space="preserve">.</w:t>
      </w:r>
    </w:p>
    <w:bookmarkEnd w:id="112"/>
    <w:bookmarkStart w:id="11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13"/>
    <w:bookmarkStart w:id="114"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14"/>
    <w:bookmarkStart w:id="116"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15">
        <w:r>
          <w:rPr>
            <w:rStyle w:val="Hyperlink"/>
          </w:rPr>
          <w:t xml:space="preserve">https://CRAN.R-project.org/package=quantregForest</w:t>
        </w:r>
      </w:hyperlink>
      <w:r>
        <w:t xml:space="preserve">.</w:t>
      </w:r>
    </w:p>
    <w:bookmarkEnd w:id="116"/>
    <w:bookmarkStart w:id="11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17"/>
    <w:bookmarkStart w:id="119"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18">
        <w:r>
          <w:rPr>
            <w:rStyle w:val="Hyperlink"/>
          </w:rPr>
          <w:t xml:space="preserve">https://doi.org/10.1016/j.watres.2004.09.002</w:t>
        </w:r>
      </w:hyperlink>
      <w:r>
        <w:t xml:space="preserve">.</w:t>
      </w:r>
    </w:p>
    <w:bookmarkEnd w:id="119"/>
    <w:bookmarkStart w:id="120"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20"/>
    <w:bookmarkStart w:id="121"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21"/>
    <w:bookmarkStart w:id="123"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22">
        <w:r>
          <w:rPr>
            <w:rStyle w:val="Hyperlink"/>
          </w:rPr>
          <w:t xml:space="preserve">https://doi.org/10.1890/11-0077.1</w:t>
        </w:r>
      </w:hyperlink>
      <w:r>
        <w:t xml:space="preserve">.</w:t>
      </w:r>
    </w:p>
    <w:bookmarkEnd w:id="123"/>
    <w:bookmarkStart w:id="124"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24"/>
    <w:bookmarkStart w:id="12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25">
        <w:r>
          <w:rPr>
            <w:rStyle w:val="Hyperlink"/>
          </w:rPr>
          <w:t xml:space="preserve">https://doi.org/10.1111/gec3.12039</w:t>
        </w:r>
      </w:hyperlink>
      <w:r>
        <w:t xml:space="preserve">.</w:t>
      </w:r>
    </w:p>
    <w:bookmarkEnd w:id="126"/>
    <w:bookmarkStart w:id="12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27">
        <w:r>
          <w:rPr>
            <w:rStyle w:val="Hyperlink"/>
          </w:rPr>
          <w:t xml:space="preserve">https://doi.org/10.1007/s10661-010-1385-8</w:t>
        </w:r>
      </w:hyperlink>
      <w:r>
        <w:t xml:space="preserve">.</w:t>
      </w:r>
    </w:p>
    <w:bookmarkEnd w:id="128"/>
    <w:bookmarkStart w:id="130"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29">
        <w:r>
          <w:rPr>
            <w:rStyle w:val="Hyperlink"/>
          </w:rPr>
          <w:t xml:space="preserve">https://doi.org/10.1046/j.1365-2427.2001.00758.x</w:t>
        </w:r>
      </w:hyperlink>
      <w:r>
        <w:t xml:space="preserve">.</w:t>
      </w:r>
    </w:p>
    <w:bookmarkEnd w:id="130"/>
    <w:bookmarkStart w:id="132"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31">
        <w:r>
          <w:rPr>
            <w:rStyle w:val="Hyperlink"/>
          </w:rPr>
          <w:t xml:space="preserve">https://doi.org/10.1111/jawr.12035</w:t>
        </w:r>
      </w:hyperlink>
      <w:r>
        <w:t xml:space="preserve">.</w:t>
      </w:r>
    </w:p>
    <w:bookmarkEnd w:id="132"/>
    <w:bookmarkStart w:id="133"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p>
    <w:bookmarkEnd w:id="133"/>
    <w:bookmarkStart w:id="135"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34">
        <w:r>
          <w:rPr>
            <w:rStyle w:val="Hyperlink"/>
          </w:rPr>
          <w:t xml:space="preserve">https://doi.org/10.1111/j.1365-2664.2008.01548.x</w:t>
        </w:r>
      </w:hyperlink>
      <w:r>
        <w:t xml:space="preserve">.</w:t>
      </w:r>
    </w:p>
    <w:bookmarkEnd w:id="135"/>
    <w:bookmarkStart w:id="136" w:name="ref-USEPA16"/>
    <w:p>
      <w:pPr>
        <w:pStyle w:val="Bibliography"/>
      </w:pPr>
      <w:r>
        <w:t xml:space="preserve">USEPA (US Environmental Protection Agency). 2016. “National Rivers and Streams Assessment 2008-2009: A Collaborative Survey.” EPA-841-R-16-007. Washington, DC.</w:t>
      </w:r>
    </w:p>
    <w:bookmarkEnd w:id="136"/>
    <w:bookmarkStart w:id="137" w:name="ref-USGS99"/>
    <w:p>
      <w:pPr>
        <w:pStyle w:val="Bibliography"/>
      </w:pPr>
      <w:r>
        <w:t xml:space="preserve">USGS (US Geological Survey). 1999. “The quality of our nation’s waters: nutrients and pesticides.” Reston, Virginia.</w:t>
      </w:r>
    </w:p>
    <w:bookmarkEnd w:id="137"/>
    <w:bookmarkStart w:id="138" w:name="ref-USGS14"/>
    <w:p>
      <w:pPr>
        <w:pStyle w:val="Bibliography"/>
      </w:pPr>
      <w:r>
        <w:t xml:space="preserve">———. 2014. “National Hydrography Dataset available on the World Wide Web.”</w:t>
      </w:r>
    </w:p>
    <w:bookmarkEnd w:id="138"/>
    <w:bookmarkStart w:id="140"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39">
        <w:r>
          <w:rPr>
            <w:rStyle w:val="Hyperlink"/>
          </w:rPr>
          <w:t xml:space="preserve">https://doi.org/10.1023/A:1023374524254</w:t>
        </w:r>
      </w:hyperlink>
      <w:r>
        <w:t xml:space="preserve">.</w:t>
      </w:r>
    </w:p>
    <w:bookmarkEnd w:id="140"/>
    <w:bookmarkStart w:id="142"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41">
        <w:r>
          <w:rPr>
            <w:rStyle w:val="Hyperlink"/>
          </w:rPr>
          <w:t xml:space="preserve">https://doi.org/10.1111/jawr.12032</w:t>
        </w:r>
      </w:hyperlink>
      <w:r>
        <w:t xml:space="preserve">.</w:t>
      </w:r>
    </w:p>
    <w:bookmarkEnd w:id="142"/>
    <w:bookmarkStart w:id="144"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43">
        <w:r>
          <w:rPr>
            <w:rStyle w:val="Hyperlink"/>
          </w:rPr>
          <w:t xml:space="preserve">https://doi.org/10.1371/journal.pone.0090944</w:t>
        </w:r>
      </w:hyperlink>
      <w:r>
        <w:t xml:space="preserve">.</w:t>
      </w:r>
    </w:p>
    <w:bookmarkEnd w:id="144"/>
    <w:bookmarkStart w:id="146"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45">
        <w:r>
          <w:rPr>
            <w:rStyle w:val="Hyperlink"/>
          </w:rPr>
          <w:t xml:space="preserve">https://doi.org/10.1577/1548-8446(1997)022%3C0006:IOWLUO%3E2.0.CO;2</w:t>
        </w:r>
      </w:hyperlink>
      <w:r>
        <w:t xml:space="preserve">.</w:t>
      </w:r>
    </w:p>
    <w:bookmarkEnd w:id="146"/>
    <w:bookmarkEnd w:id="14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hyperlink" Id="rId51" Target="http://shiny.sccwrp.org/scape/" TargetMode="External" /><Relationship Type="http://schemas.openxmlformats.org/officeDocument/2006/relationships/hyperlink" Id="rId115" Target="https://CRAN.R-project.org/package=quantregForest" TargetMode="External" /><Relationship Type="http://schemas.openxmlformats.org/officeDocument/2006/relationships/hyperlink" Id="rId95" Target="https://doi.org/10.1002/eap.1617" TargetMode="External" /><Relationship Type="http://schemas.openxmlformats.org/officeDocument/2006/relationships/hyperlink" Id="rId88" Target="https://doi.org/10.1002/etc.2059" TargetMode="External" /><Relationship Type="http://schemas.openxmlformats.org/officeDocument/2006/relationships/hyperlink" Id="rId82" Target="https://doi.org/10.1002/rra.1053" TargetMode="External" /><Relationship Type="http://schemas.openxmlformats.org/officeDocument/2006/relationships/hyperlink" Id="rId108" Target="https://doi.org/10.1007%2Fs00267-008-9151-1" TargetMode="External" /><Relationship Type="http://schemas.openxmlformats.org/officeDocument/2006/relationships/hyperlink" Id="rId76" Target="https://doi.org/10.1007/s10661-008-0256-z" TargetMode="External" /><Relationship Type="http://schemas.openxmlformats.org/officeDocument/2006/relationships/hyperlink" Id="rId127" Target="https://doi.org/10.1007/s10661-010-1385-8" TargetMode="External" /><Relationship Type="http://schemas.openxmlformats.org/officeDocument/2006/relationships/hyperlink" Id="rId111" Target="https://doi.org/10.1007/s10661-014-4086-x" TargetMode="External" /><Relationship Type="http://schemas.openxmlformats.org/officeDocument/2006/relationships/hyperlink" Id="rId92" Target="https://doi.org/10.1007/s10661-017-6025-0" TargetMode="External" /><Relationship Type="http://schemas.openxmlformats.org/officeDocument/2006/relationships/hyperlink" Id="rId78"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06" Target="https://doi.org/10.1016/j.scitotenv.2015.07.083" TargetMode="External" /><Relationship Type="http://schemas.openxmlformats.org/officeDocument/2006/relationships/hyperlink" Id="rId118" Target="https://doi.org/10.1016/j.watres.2004.09.002" TargetMode="External" /><Relationship Type="http://schemas.openxmlformats.org/officeDocument/2006/relationships/hyperlink" Id="rId139"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29" Target="https://doi.org/10.1046/j.1365-2427.2001.00758.x" TargetMode="External" /><Relationship Type="http://schemas.openxmlformats.org/officeDocument/2006/relationships/hyperlink" Id="rId80" Target="https://doi.org/10.1086/678701" TargetMode="External" /><Relationship Type="http://schemas.openxmlformats.org/officeDocument/2006/relationships/hyperlink" Id="rId99" Target="https://doi.org/10.1086/697996" TargetMode="External" /><Relationship Type="http://schemas.openxmlformats.org/officeDocument/2006/relationships/hyperlink" Id="rId97" Target="https://doi.org/10.1111/1752-1688.12372" TargetMode="External" /><Relationship Type="http://schemas.openxmlformats.org/officeDocument/2006/relationships/hyperlink" Id="rId125" Target="https://doi.org/10.1111/gec3.12039" TargetMode="External" /><Relationship Type="http://schemas.openxmlformats.org/officeDocument/2006/relationships/hyperlink" Id="rId86" Target="https://doi.org/10.1111/j.1365-2427.2011.02696.x" TargetMode="External" /><Relationship Type="http://schemas.openxmlformats.org/officeDocument/2006/relationships/hyperlink" Id="rId134" Target="https://doi.org/10.1111/j.1365-2664.2008.01548.x" TargetMode="External" /><Relationship Type="http://schemas.openxmlformats.org/officeDocument/2006/relationships/hyperlink" Id="rId74" Target="https://doi.org/10.1111/j.1526-100X.2007.00285.x" TargetMode="External" /><Relationship Type="http://schemas.openxmlformats.org/officeDocument/2006/relationships/hyperlink" Id="rId90" Target="https://doi.org/10.1111/j.1752-1688.2000.tb05717.x" TargetMode="External" /><Relationship Type="http://schemas.openxmlformats.org/officeDocument/2006/relationships/hyperlink" Id="rId104" Target="https://doi.org/10.1111/j.1752-1688.2011.00635.x" TargetMode="External" /><Relationship Type="http://schemas.openxmlformats.org/officeDocument/2006/relationships/hyperlink" Id="rId141" Target="https://doi.org/10.1111/jawr.12032" TargetMode="External" /><Relationship Type="http://schemas.openxmlformats.org/officeDocument/2006/relationships/hyperlink" Id="rId131"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143" Target="https://doi.org/10.1371/journal.pone.0090944" TargetMode="External" /><Relationship Type="http://schemas.openxmlformats.org/officeDocument/2006/relationships/hyperlink" Id="rId101" Target="https://doi.org/10.1371/journal.pone.0130710" TargetMode="External" /><Relationship Type="http://schemas.openxmlformats.org/officeDocument/2006/relationships/hyperlink" Id="rId145" Target="https://doi.org/10.1577/1548-8446(1997)022%3C0006:IOWLUO%3E2.0.CO;2" TargetMode="External" /><Relationship Type="http://schemas.openxmlformats.org/officeDocument/2006/relationships/hyperlink" Id="rId122" Target="https://doi.org/10.1890/11-0077.1" TargetMode="External" /><Relationship Type="http://schemas.openxmlformats.org/officeDocument/2006/relationships/hyperlink" Id="rId84" Target="https://doi.org/10.1899/0887-3593(2004)023%3C0599:BWRSUO%3E2.0.CO;2"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51" Target="http://shiny.sccwrp.org/scape/" TargetMode="External" /><Relationship Type="http://schemas.openxmlformats.org/officeDocument/2006/relationships/hyperlink" Id="rId115" Target="https://CRAN.R-project.org/package=quantregForest" TargetMode="External" /><Relationship Type="http://schemas.openxmlformats.org/officeDocument/2006/relationships/hyperlink" Id="rId95" Target="https://doi.org/10.1002/eap.1617" TargetMode="External" /><Relationship Type="http://schemas.openxmlformats.org/officeDocument/2006/relationships/hyperlink" Id="rId88" Target="https://doi.org/10.1002/etc.2059" TargetMode="External" /><Relationship Type="http://schemas.openxmlformats.org/officeDocument/2006/relationships/hyperlink" Id="rId82" Target="https://doi.org/10.1002/rra.1053" TargetMode="External" /><Relationship Type="http://schemas.openxmlformats.org/officeDocument/2006/relationships/hyperlink" Id="rId108" Target="https://doi.org/10.1007%2Fs00267-008-9151-1" TargetMode="External" /><Relationship Type="http://schemas.openxmlformats.org/officeDocument/2006/relationships/hyperlink" Id="rId76" Target="https://doi.org/10.1007/s10661-008-0256-z" TargetMode="External" /><Relationship Type="http://schemas.openxmlformats.org/officeDocument/2006/relationships/hyperlink" Id="rId127" Target="https://doi.org/10.1007/s10661-010-1385-8" TargetMode="External" /><Relationship Type="http://schemas.openxmlformats.org/officeDocument/2006/relationships/hyperlink" Id="rId111" Target="https://doi.org/10.1007/s10661-014-4086-x" TargetMode="External" /><Relationship Type="http://schemas.openxmlformats.org/officeDocument/2006/relationships/hyperlink" Id="rId92" Target="https://doi.org/10.1007/s10661-017-6025-0" TargetMode="External" /><Relationship Type="http://schemas.openxmlformats.org/officeDocument/2006/relationships/hyperlink" Id="rId78"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06" Target="https://doi.org/10.1016/j.scitotenv.2015.07.083" TargetMode="External" /><Relationship Type="http://schemas.openxmlformats.org/officeDocument/2006/relationships/hyperlink" Id="rId118" Target="https://doi.org/10.1016/j.watres.2004.09.002" TargetMode="External" /><Relationship Type="http://schemas.openxmlformats.org/officeDocument/2006/relationships/hyperlink" Id="rId139"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29" Target="https://doi.org/10.1046/j.1365-2427.2001.00758.x" TargetMode="External" /><Relationship Type="http://schemas.openxmlformats.org/officeDocument/2006/relationships/hyperlink" Id="rId80" Target="https://doi.org/10.1086/678701" TargetMode="External" /><Relationship Type="http://schemas.openxmlformats.org/officeDocument/2006/relationships/hyperlink" Id="rId99" Target="https://doi.org/10.1086/697996" TargetMode="External" /><Relationship Type="http://schemas.openxmlformats.org/officeDocument/2006/relationships/hyperlink" Id="rId97" Target="https://doi.org/10.1111/1752-1688.12372" TargetMode="External" /><Relationship Type="http://schemas.openxmlformats.org/officeDocument/2006/relationships/hyperlink" Id="rId125" Target="https://doi.org/10.1111/gec3.12039" TargetMode="External" /><Relationship Type="http://schemas.openxmlformats.org/officeDocument/2006/relationships/hyperlink" Id="rId86" Target="https://doi.org/10.1111/j.1365-2427.2011.02696.x" TargetMode="External" /><Relationship Type="http://schemas.openxmlformats.org/officeDocument/2006/relationships/hyperlink" Id="rId134" Target="https://doi.org/10.1111/j.1365-2664.2008.01548.x" TargetMode="External" /><Relationship Type="http://schemas.openxmlformats.org/officeDocument/2006/relationships/hyperlink" Id="rId74" Target="https://doi.org/10.1111/j.1526-100X.2007.00285.x" TargetMode="External" /><Relationship Type="http://schemas.openxmlformats.org/officeDocument/2006/relationships/hyperlink" Id="rId90" Target="https://doi.org/10.1111/j.1752-1688.2000.tb05717.x" TargetMode="External" /><Relationship Type="http://schemas.openxmlformats.org/officeDocument/2006/relationships/hyperlink" Id="rId104" Target="https://doi.org/10.1111/j.1752-1688.2011.00635.x" TargetMode="External" /><Relationship Type="http://schemas.openxmlformats.org/officeDocument/2006/relationships/hyperlink" Id="rId141" Target="https://doi.org/10.1111/jawr.12032" TargetMode="External" /><Relationship Type="http://schemas.openxmlformats.org/officeDocument/2006/relationships/hyperlink" Id="rId131"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143" Target="https://doi.org/10.1371/journal.pone.0090944" TargetMode="External" /><Relationship Type="http://schemas.openxmlformats.org/officeDocument/2006/relationships/hyperlink" Id="rId101" Target="https://doi.org/10.1371/journal.pone.0130710" TargetMode="External" /><Relationship Type="http://schemas.openxmlformats.org/officeDocument/2006/relationships/hyperlink" Id="rId145" Target="https://doi.org/10.1577/1548-8446(1997)022%3C0006:IOWLUO%3E2.0.CO;2" TargetMode="External" /><Relationship Type="http://schemas.openxmlformats.org/officeDocument/2006/relationships/hyperlink" Id="rId122" Target="https://doi.org/10.1890/11-0077.1" TargetMode="External" /><Relationship Type="http://schemas.openxmlformats.org/officeDocument/2006/relationships/hyperlink" Id="rId84" Target="https://doi.org/10.1899/0887-3593(2004)023%3C0599:BWRSUO%3E2.0.CO;2"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2018-06-12T18:53:48Z</dcterms:created>
  <dcterms:modified xsi:type="dcterms:W3CDTF">2018-06-12T18:53:48Z</dcterms:modified>
</cp:coreProperties>
</file>